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j1yfklqz54et" w:id="0"/>
      <w:bookmarkEnd w:id="0"/>
      <w:r w:rsidDel="00000000" w:rsidR="00000000" w:rsidRPr="00000000">
        <w:rPr>
          <w:rFonts w:ascii="Open Sans" w:cs="Open Sans" w:eastAsia="Open Sans" w:hAnsi="Open Sans"/>
          <w:rtl w:val="0"/>
        </w:rPr>
        <w:t xml:space="preserve">Что успеть предпринимателю и бухгалтеру до конца 2024 года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9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9795"/>
        <w:gridCol w:w="705"/>
        <w:tblGridChange w:id="0">
          <w:tblGrid>
            <w:gridCol w:w="600"/>
            <w:gridCol w:w="9795"/>
            <w:gridCol w:w="7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Перечислить зарплату работникам за декабрь, если даты выплаты приходятся на праздничные и нерабочие дни.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Утвердить график отпусков на 2025-й. </w:t>
            </w: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График отпусков на следующий год необходимо утверждать ежегодно до 17 декабря текущего года.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Если в штате есть работники с окладом, привязанным к МРОТ, необходимо составить допсоглашения к трудовым договорам из-за повышения МРОТ с 2025 года.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Перезаключить договоры, срок действия которых истекает в 2024 году: с поставщиками, покупателями, сотрудниками.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Провести сверку платежей с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ФНС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и другими контрагентами.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Если требуется, внести изменения в Учетную политику.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Проверить, вписывается ли бизнес в лимит по доходам для освобождения от уплаты НДС или возможности применения льготных ставок.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Скачать актуальный бланк счета-фактуры и книги продаж для компаний и ИП на УСН.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ИП на УСН «Доходы минус расходы» заплатить страховой фиксированный взнос до 31 декабря, чтобы включить его в расходы 2024 года.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