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240" w:lineRule="auto"/>
        <w:rPr/>
      </w:pPr>
      <w:bookmarkStart w:colFirst="0" w:colLast="0" w:name="_ntnf34u7m96s" w:id="0"/>
      <w:bookmarkEnd w:id="0"/>
      <w:r w:rsidDel="00000000" w:rsidR="00000000" w:rsidRPr="00000000">
        <w:rPr>
          <w:rtl w:val="0"/>
        </w:rPr>
        <w:t xml:space="preserve">Чек-лист по выбору банка для эквайринга</w:t>
      </w:r>
    </w:p>
    <w:p w:rsidR="00000000" w:rsidDel="00000000" w:rsidP="00000000" w:rsidRDefault="00000000" w:rsidRPr="00000000" w14:paraId="00000002">
      <w:pPr>
        <w:spacing w:after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Единоразовые расходы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392.606713634481"/>
        <w:gridCol w:w="1632.9050973891424"/>
        <w:tblGridChange w:id="0">
          <w:tblGrid>
            <w:gridCol w:w="7392.606713634481"/>
            <w:gridCol w:w="1632.9050973891424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Сумма</w:t>
            </w:r>
          </w:p>
        </w:tc>
      </w:tr>
      <w:tr>
        <w:trPr>
          <w:cantSplit w:val="0"/>
          <w:trHeight w:val="26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before="200" w:lineRule="auto"/>
              <w:rPr/>
            </w:pPr>
            <w:r w:rsidDel="00000000" w:rsidR="00000000" w:rsidRPr="00000000">
              <w:rPr>
                <w:rtl w:val="0"/>
              </w:rPr>
              <w:t xml:space="preserve">Покупка оборудования:</w:t>
            </w:r>
          </w:p>
          <w:p w:rsidR="00000000" w:rsidDel="00000000" w:rsidP="00000000" w:rsidRDefault="00000000" w:rsidRPr="00000000" w14:paraId="00000006">
            <w:pPr>
              <w:spacing w:after="200" w:before="20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— онлайн-касса со встроенным эквайрингом;</w:t>
            </w:r>
          </w:p>
          <w:p w:rsidR="00000000" w:rsidDel="00000000" w:rsidP="00000000" w:rsidRDefault="00000000" w:rsidRPr="00000000" w14:paraId="00000007">
            <w:pPr>
              <w:spacing w:after="200" w:before="20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— онлайн-касса без эквайринга и терминал;</w:t>
            </w:r>
          </w:p>
          <w:p w:rsidR="00000000" w:rsidDel="00000000" w:rsidP="00000000" w:rsidRDefault="00000000" w:rsidRPr="00000000" w14:paraId="00000008">
            <w:pPr>
              <w:spacing w:after="200" w:before="20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— онлайн-касса и платежный виджет для интернет-магазина;</w:t>
            </w:r>
          </w:p>
          <w:p w:rsidR="00000000" w:rsidDel="00000000" w:rsidP="00000000" w:rsidRDefault="00000000" w:rsidRPr="00000000" w14:paraId="00000009">
            <w:pPr>
              <w:spacing w:after="200" w:before="20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прочее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Доставка, установка, подключение, проверка оборудования инженерами банка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Открытие расчетного счета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Подключение эквайринга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Прочие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5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Постоянные расходы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392.606713634481"/>
        <w:gridCol w:w="1632.9050973891424"/>
        <w:tblGridChange w:id="0">
          <w:tblGrid>
            <w:gridCol w:w="7392.606713634481"/>
            <w:gridCol w:w="1632.9050973891424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Сумма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Аренда оборудования: онлайн-касса, терминал для эквайринга и прочее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Обслуживание расчетного счета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Комиссия за эквайринг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Электронный документооборот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Электронная подпись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Обслуживание оборудования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Прочие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Условия банка-эквайера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377.762121840034"/>
        <w:gridCol w:w="1647.7496891835892"/>
        <w:tblGridChange w:id="0">
          <w:tblGrid>
            <w:gridCol w:w="7377.762121840034"/>
            <w:gridCol w:w="1647.7496891835892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Дополнительные услуги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Наличие +/-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Подключение эквайринга, если счет открыт в другом банке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Электронный документооборот – можно ли заключить договор удаленно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системой быстрых платежей для куаринга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Круглосуточная онлайн-техподдержка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Выезд инженера, замена неисправного оборудования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Ежедневное зачисление выручки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Прочие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