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</w:rPr>
      </w:pPr>
      <w:bookmarkStart w:colFirst="0" w:colLast="0" w:name="_g8icw4uv905y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Чек-лист. Выбор банка </w:t>
        <w:br w:type="textWrapping"/>
        <w:t xml:space="preserve">для зарплатного проекта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b w:val="1"/>
          <w:sz w:val="34"/>
          <w:szCs w:val="34"/>
          <w:rtl w:val="0"/>
        </w:rPr>
        <w:t xml:space="preserve">Банк _____________________________________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65.0" w:type="dxa"/>
        <w:jc w:val="left"/>
        <w:tblInd w:w="-1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1950"/>
        <w:gridCol w:w="1935"/>
        <w:gridCol w:w="1935"/>
        <w:tblGridChange w:id="0">
          <w:tblGrid>
            <w:gridCol w:w="5745"/>
            <w:gridCol w:w="1950"/>
            <w:gridCol w:w="193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Критерии оценки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Тариф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Тариф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Тариф 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Стоимость обслуживания в месяц (руб.)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перевод внутри банка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межбанковских переводов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выпуска зарплатных карт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обслуживания зарплатных карт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Ограничения для работодателя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Минимальное количество работников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Межбанковские переводы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Переводы самозанятым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Обязательное наличие расчетного счета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Дополнительные возможности для работодателя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Подключение к 1С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Доставка карт в офис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Овердрафт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Индивидуальный менеджер сопровождения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Выпуск карт в фирменном стиле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Установка банкомата на территории работодателя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Дополнительные возможности для работников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ashback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Начисление % на остаток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Льготные условия по кредитам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Широкая сеть банкоматов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Open Sans" w:cs="Open Sans" w:eastAsia="Open Sans" w:hAnsi="Open Sans"/>
          <w:b w:val="1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b w:val="1"/>
          <w:sz w:val="34"/>
          <w:szCs w:val="34"/>
          <w:rtl w:val="0"/>
        </w:rPr>
        <w:t xml:space="preserve">Банк _____________________________________</w:t>
      </w:r>
    </w:p>
    <w:p w:rsidR="00000000" w:rsidDel="00000000" w:rsidP="00000000" w:rsidRDefault="00000000" w:rsidRPr="00000000" w14:paraId="0000006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65.0" w:type="dxa"/>
        <w:jc w:val="left"/>
        <w:tblInd w:w="-1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"/>
        <w:gridCol w:w="1950"/>
        <w:gridCol w:w="1935"/>
        <w:gridCol w:w="1935"/>
        <w:tblGridChange w:id="0">
          <w:tblGrid>
            <w:gridCol w:w="5745"/>
            <w:gridCol w:w="1950"/>
            <w:gridCol w:w="193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Критерии оценки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Тариф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Тариф 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Тариф 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Стоимость обслуживания в месяц (руб.)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перевод внутри банка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межбанковских переводов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выпуска зарплатных карт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обслуживания зарплатных карт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Ограничения для работодателя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Минимальное количество работников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Межбанковские переводы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Переводы самозанятым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Обязательное наличие расчетного счета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Дополнительные возможности для работодателя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Подключение к 1С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Доставка карт в офис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Овердрафт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Индивидуальный менеджер сопровождения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Техподдержка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Выпуск карт в фирменном стиле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Установка банкомата на территории работодателя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Дополнительные возможности для работников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Сashback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Начисление % на остаток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Льготные условия по кредитам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Широкая сеть банкоматов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